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孟洼村</w:t>
      </w:r>
      <w:bookmarkEnd w:id="1"/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CE242F0"/>
    <w:rsid w:val="3EBB73F9"/>
    <w:rsid w:val="3FB70595"/>
    <w:rsid w:val="404C688B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40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8836A969E8F54D8B8F794F791606004E_13</vt:lpwstr>
  </property>
</Properties>
</file>